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昆明市科学技术局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网站工作年度报表</w:t>
      </w:r>
    </w:p>
    <w:p>
      <w:pPr>
        <w:jc w:val="center"/>
        <w:rPr>
          <w:rFonts w:hint="eastAsia" w:ascii="Times New Roman" w:hAnsi="Times New Roman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2020</w:t>
      </w: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填报单位：</w:t>
      </w:r>
    </w:p>
    <w:tbl>
      <w:tblPr>
        <w:tblStyle w:val="5"/>
        <w:tblW w:w="907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昆明市科学技术局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http://kjj.km.gov.cn/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昆明市科学技术局</w:t>
            </w:r>
            <w:r>
              <w:rPr>
                <w:rFonts w:hint="default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政府门户网站　　　□部门网站　　　□专项网站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5301000053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ICP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"https://beian.miit.gov.cn/" </w:instrTex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滇ICP备07000700号-1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5301000056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347634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1314192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1410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　　　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　　　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5"/>
                <w:szCs w:val="15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昆明市科技局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39181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昆明科创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344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2422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Times New Roman" w:hAnsi="Times New Roman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default" w:ascii="Times New Roman" w:hAnsi="Times New Roman" w:cs="Calibr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单位负责人：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王键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审核人：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邱云红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   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填报人：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耿丽娜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联系电话：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63135842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           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填报日期：</w:t>
      </w:r>
      <w:r>
        <w:rPr>
          <w:rFonts w:hint="eastAsia" w:ascii="Times New Roman" w:hAnsi="Times New Roman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2021.1.22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2098" w:right="1587" w:bottom="1871" w:left="1587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380C"/>
    <w:rsid w:val="00751B18"/>
    <w:rsid w:val="03F103AC"/>
    <w:rsid w:val="09A7617D"/>
    <w:rsid w:val="0B604F47"/>
    <w:rsid w:val="0D1F382C"/>
    <w:rsid w:val="0EDC022D"/>
    <w:rsid w:val="0F226778"/>
    <w:rsid w:val="0F5E5F21"/>
    <w:rsid w:val="10934953"/>
    <w:rsid w:val="1316380C"/>
    <w:rsid w:val="133E2B90"/>
    <w:rsid w:val="1B3C5E6E"/>
    <w:rsid w:val="1D625DE7"/>
    <w:rsid w:val="26C36E46"/>
    <w:rsid w:val="282D4899"/>
    <w:rsid w:val="2F3012C1"/>
    <w:rsid w:val="32075949"/>
    <w:rsid w:val="33363EC8"/>
    <w:rsid w:val="3F703E96"/>
    <w:rsid w:val="4ABA3E01"/>
    <w:rsid w:val="51544B03"/>
    <w:rsid w:val="590B4944"/>
    <w:rsid w:val="598547CB"/>
    <w:rsid w:val="5DF11A5E"/>
    <w:rsid w:val="674B14CF"/>
    <w:rsid w:val="69562829"/>
    <w:rsid w:val="6E1E1CB2"/>
    <w:rsid w:val="721C1BFF"/>
    <w:rsid w:val="76B740F3"/>
    <w:rsid w:val="78704C70"/>
    <w:rsid w:val="79674FB1"/>
    <w:rsid w:val="7D72528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2019-12-25T08:19:00Z</dcterms:created>
  <dc:creator>TEAMO</dc:creator>
  <cp:lastModifiedBy>付鹏【昆明市科技情报研究所】</cp:lastModifiedBy>
  <dcterms:modified xsi:type="dcterms:W3CDTF">2021-01-25T08:40:50Z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