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000000" w:themeColor="text1"/>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150" w:afterAutospacing="0" w:line="560" w:lineRule="exact"/>
        <w:ind w:left="0" w:right="0" w:firstLine="420"/>
        <w:jc w:val="center"/>
        <w:textAlignment w:val="auto"/>
        <w:rPr>
          <w:rFonts w:hint="default" w:ascii="Times New Roman" w:hAnsi="Times New Roman" w:eastAsia="方正小标宋_GBK" w:cs="Times New Roman"/>
          <w:i w:val="0"/>
          <w:caps w:val="0"/>
          <w:color w:val="000000" w:themeColor="text1"/>
          <w:spacing w:val="0"/>
          <w:sz w:val="44"/>
          <w:szCs w:val="44"/>
          <w:shd w:val="clear" w:fill="FFFFFF"/>
          <w:lang w:val="en-US" w:eastAsia="zh-CN"/>
          <w14:textFill>
            <w14:solidFill>
              <w14:schemeClr w14:val="tx1"/>
            </w14:solidFill>
          </w14:textFill>
        </w:rPr>
      </w:pPr>
      <w:r>
        <w:rPr>
          <w:rFonts w:hint="default" w:ascii="Times New Roman" w:hAnsi="Times New Roman" w:eastAsia="方正小标宋_GBK" w:cs="Times New Roman"/>
          <w:i w:val="0"/>
          <w:caps w:val="0"/>
          <w:color w:val="000000" w:themeColor="text1"/>
          <w:spacing w:val="0"/>
          <w:sz w:val="44"/>
          <w:szCs w:val="44"/>
          <w:shd w:val="clear" w:fill="FFFFFF"/>
          <w:lang w:val="en-US" w:eastAsia="zh-CN"/>
          <w14:textFill>
            <w14:solidFill>
              <w14:schemeClr w14:val="tx1"/>
            </w14:solidFill>
          </w14:textFill>
        </w:rPr>
        <w:t>科研之路始于“助理”高校毕业生就业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150" w:afterAutospacing="0" w:line="560" w:lineRule="exact"/>
        <w:ind w:left="0" w:right="0" w:firstLine="420"/>
        <w:jc w:val="center"/>
        <w:textAlignment w:val="auto"/>
        <w:rPr>
          <w:rFonts w:hint="default" w:ascii="Times New Roman" w:hAnsi="Times New Roman" w:eastAsia="方正小标宋_GBK" w:cs="Times New Roman"/>
          <w:i w:val="0"/>
          <w:caps w:val="0"/>
          <w:color w:val="000000" w:themeColor="text1"/>
          <w:spacing w:val="0"/>
          <w:sz w:val="44"/>
          <w:szCs w:val="44"/>
          <w:shd w:val="clear" w:fill="FFFFFF"/>
          <w:lang w:val="en-US" w:eastAsia="zh-CN"/>
          <w14:textFill>
            <w14:solidFill>
              <w14:schemeClr w14:val="tx1"/>
            </w14:solidFill>
          </w14:textFill>
        </w:rPr>
      </w:pPr>
      <w:r>
        <w:rPr>
          <w:rFonts w:hint="default" w:ascii="Times New Roman" w:hAnsi="Times New Roman" w:eastAsia="方正小标宋_GBK" w:cs="Times New Roman"/>
          <w:i w:val="0"/>
          <w:caps w:val="0"/>
          <w:color w:val="000000" w:themeColor="text1"/>
          <w:spacing w:val="0"/>
          <w:sz w:val="44"/>
          <w:szCs w:val="44"/>
          <w:shd w:val="clear" w:fill="FFFFFF"/>
          <w:lang w:val="en-US" w:eastAsia="zh-CN"/>
          <w14:textFill>
            <w14:solidFill>
              <w14:schemeClr w14:val="tx1"/>
            </w14:solidFill>
          </w14:textFill>
        </w:rPr>
        <w:t>创业好途径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创新之道，唯在得人。得人之要，必广其途以储之。科研助理是科研队伍的重要组成部分，是培养专业科研队伍的重要渠道，也是高校毕业生就业创业科研“起始站”之一。在高校毕业之际，让我们一起来了解科研助理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t>一、什么是科研助理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科研助理是指从事科研项目辅助研究、实验（工程）设施运行维护和实验技术、科技成果转移转化以及学术助理和财务助理等工作的人员。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t>二、科研助理设置有关政策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近3年来，国家、云南省出台了一系列措施支持科研助理岗位设置，鼓励高校毕业生加入到科研助理行列：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（一）《国务院办公厅关于改革完善中央财政科研经费管理的若干意见》（国办发〔2021〕32号）：（十二）全面落实科研财务助理制度。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（二）《科技部 教育部 人力资源社会保障部 财政部中科院 自然科学基金委关于鼓励科研项目开发科研助理岗位吸纳高校毕业生就业的通知》（国科发资〔2020〕132号）。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（三）《云南省人民政府办公厅关于印发云南省财政科研项目和经费管理改革20条措施的通知》（云政办发〔2021〕70号）</w:t>
      </w:r>
      <w:r>
        <w:rPr>
          <w:rFonts w:hint="eastAsia"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w:t>
      </w: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（十五）实施科研人员减负行动。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（四）《云南省财政厅 云南省科技厅关于印发〈云南省科技计划项目资金管理办法〉的通知》（云财规〔2020〕5号）：第十四条。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（五）《云南省科技厅 云南省教育厅 云南省人力资源社会保障厅 云南省财政厅 中国科学院昆明分院关于支持科研项目开发科研助理岗位吸纳高校毕业生就业有关工作的通知》（云科资发〔2020〕2号）。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（六）《云南省科技厅关于强化科研助理岗促进高校毕业生就业作用的通知》。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t>三、科研助理权利及义务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（一）签订劳动合同，保障个人权益。高校毕业生就业后工龄与科研助理期间的工作时间合并计算，社会保险缴费年限合并计算。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（二）完成科研任务，积累科研经验。高校毕业生成为科研助理后，按用人单位要求及指导，完成劳动合同约定的科研工作任务。积累科研经验，熟悉科研项目管理政策要求。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t>四、用人单位权利及义务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用人单位通过多种渠道广泛宣传科研助理招聘信息。在招聘公告和实际操作中不得将毕业院校、国（境）外学习经历、学习方式（全日制和非全日制）作为限制性条件，建立以品德和能力为导向、以岗位需求为目标的人才使用机制，积极吸纳外部人员，重点倾斜应届高校毕业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（一）明确科研助理岗位应享的权利。依据本单位用人制度及科研管理需要，明确科研助理岗位范围、职责以及应享有的社会保险及住房公积金等权益。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（二）确定科研助理岗位薪酬。参考本单位同级岗位确定合理的科研助理薪酬标准，且不得低于当地最低工资标准。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（三）签订科研助理劳动合同。采取包括签订服务协议、以完成一定工作任务为期限的劳动合同等多种方式选聘科研助理，依法依规建立劳动合同关系。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（四）做好人事档案管理。高校毕业生就业后工龄与科研助理期间的工作时间合并计算，社会保险缴费年限合并计算。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（五）统筹科研经费支持稳定发展。用人单位，尤其是承担国家、省级科技计划项目较多的单位，应积极统筹本单位科研项目经费，支持本单位科研助理岗获得长期稳定的发展。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六）岗位资金来源。依据现行的科技计划项目资金管理办法，对于科研项目专门聘用的科研财务助理、科研助理，所需费用可通过项目资金中的劳务费或间接费用中的绩效支出安排解决。对于单位统一聘用的科研财务助理、科研助理，除通过项目资金安排外，还可通过单位日常运转资金等渠道解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960" w:firstLineChars="300"/>
        <w:jc w:val="left"/>
        <w:textAlignment w:val="auto"/>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pPr>
      <w:bookmarkStart w:id="0" w:name="_GoBack"/>
      <w:bookmarkEnd w:id="0"/>
      <w:r>
        <w:rPr>
          <w:rFonts w:hint="default" w:ascii="Times New Roman" w:hAnsi="Times New Roman" w:eastAsia="方正黑体_GBK" w:cs="Times New Roman"/>
          <w:i w:val="0"/>
          <w:caps w:val="0"/>
          <w:color w:val="000000" w:themeColor="text1"/>
          <w:spacing w:val="0"/>
          <w:sz w:val="32"/>
          <w:szCs w:val="32"/>
          <w:shd w:val="clear" w:fill="FFFFFF"/>
          <w:lang w:val="en-US" w:eastAsia="zh-CN"/>
          <w14:textFill>
            <w14:solidFill>
              <w14:schemeClr w14:val="tx1"/>
            </w14:solidFill>
          </w14:textFill>
        </w:rPr>
        <w:t>五、科研助理岗前景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（一）鼓励省级人才计划入选科技人才及创新团队按需设置科研助理岗位。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（二）鼓励科研项目承担单位配套专门资金为科研助理岗位提供长期稳定支持。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（三）鼓励科研项目承担单位在职称评定、职务晋升等方面优先考虑科研助理从业经历，增强科研助理岗位吸引力。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150" w:afterAutospacing="0" w:line="560" w:lineRule="exact"/>
        <w:ind w:left="0" w:right="0" w:firstLine="420"/>
        <w:jc w:val="left"/>
        <w:textAlignment w:val="auto"/>
        <w:rPr>
          <w:rFonts w:hint="default" w:ascii="Times New Roman" w:hAnsi="Times New Roman" w:eastAsia="方正小标宋_GBK" w:cs="Times New Roman"/>
          <w:i w:val="0"/>
          <w:caps w:val="0"/>
          <w:color w:val="000000" w:themeColor="text1"/>
          <w:spacing w:val="0"/>
          <w:sz w:val="44"/>
          <w:szCs w:val="44"/>
          <w:shd w:val="clear" w:fill="FFFFFF"/>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150" w:afterAutospacing="0" w:line="560" w:lineRule="exact"/>
        <w:ind w:left="0" w:right="0" w:firstLine="420"/>
        <w:jc w:val="center"/>
        <w:textAlignment w:val="auto"/>
        <w:rPr>
          <w:rFonts w:hint="default" w:ascii="Times New Roman" w:hAnsi="Times New Roman" w:eastAsia="方正小标宋_GBK" w:cs="Times New Roman"/>
          <w:i w:val="0"/>
          <w:caps w:val="0"/>
          <w:color w:val="000000" w:themeColor="text1"/>
          <w:spacing w:val="0"/>
          <w:sz w:val="44"/>
          <w:szCs w:val="44"/>
          <w:shd w:val="clear" w:fill="FFFFFF"/>
          <w:lang w:val="en-US" w:eastAsia="zh-CN"/>
          <w14:textFill>
            <w14:solidFill>
              <w14:schemeClr w14:val="tx1"/>
            </w14:solidFill>
          </w14:textFill>
        </w:rPr>
      </w:pPr>
      <w:r>
        <w:rPr>
          <w:rFonts w:hint="eastAsia" w:ascii="Times New Roman" w:hAnsi="Times New Roman" w:eastAsia="方正小标宋_GBK" w:cs="Times New Roman"/>
          <w:i w:val="0"/>
          <w:caps w:val="0"/>
          <w:color w:val="000000" w:themeColor="text1"/>
          <w:spacing w:val="0"/>
          <w:sz w:val="44"/>
          <w:szCs w:val="44"/>
          <w:shd w:val="clear" w:fill="FFFFFF"/>
          <w:lang w:eastAsia="zh-CN"/>
          <w14:textFill>
            <w14:solidFill>
              <w14:schemeClr w14:val="tx1"/>
            </w14:solidFill>
          </w14:textFill>
        </w:rPr>
        <w:t>科技部关于科研助理</w:t>
      </w:r>
      <w:r>
        <w:rPr>
          <w:rFonts w:hint="eastAsia" w:ascii="Times New Roman" w:hAnsi="Times New Roman" w:eastAsia="方正小标宋_GBK" w:cs="Times New Roman"/>
          <w:i w:val="0"/>
          <w:caps w:val="0"/>
          <w:color w:val="000000" w:themeColor="text1"/>
          <w:spacing w:val="0"/>
          <w:sz w:val="44"/>
          <w:szCs w:val="44"/>
          <w:shd w:val="clear" w:fill="FFFFFF"/>
          <w:lang w:val="en-US" w:eastAsia="zh-CN"/>
          <w14:textFill>
            <w14:solidFill>
              <w14:schemeClr w14:val="tx1"/>
            </w14:solidFill>
          </w14:textFill>
        </w:rPr>
        <w:t>Q&amp;A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Q：科研助理是临时工作吗？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A：不是，是签署三方协议、缴纳社会保险的正式工作。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Q：和正式科研人员什么区别？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A：在正式科研人员职称序列中，有“实习研究员”“助理研究员”，是初级和中级职称的区别。从工作性质上，对于高校和科研机构来说，科研助理的工作内容就是初、中级科研人员的工作，是科学家（具备高级职称科研人员）的工作助手，在大科学家的言传身教下工作。对于企业和众多科技服务机构而言，就是从事企业和机构科研项目辅助研究、实验（工程）设施运行维护和实验技术、科技成果转移转化以及学术助理和财务助理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因此，科研助理岗位是新时期深化科技管理改革、构建与科技计划相适应的专业化支撑队伍的重要举措，也是鼓励企业加大研发投入，提升竞争力的重要手段，是完整科研队伍链条上不可或缺的一环。国务院有关部门要不断完善科研助理队伍建设，形成长效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Times New Roman" w:hAnsi="Times New Roman" w:eastAsia="方正仿宋_GBK" w:cs="Times New Roman"/>
          <w:b/>
          <w:bCs/>
          <w:i w:val="0"/>
          <w:caps w:val="0"/>
          <w:color w:val="000000" w:themeColor="text1"/>
          <w:spacing w:val="0"/>
          <w:sz w:val="32"/>
          <w:szCs w:val="32"/>
          <w:shd w:val="clear" w:fill="FFFFFF"/>
          <w:lang w:val="en-US" w:eastAsia="zh-CN"/>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Times New Roman" w:hAnsi="Times New Roman" w:eastAsia="方正仿宋_GBK" w:cs="Times New Roman"/>
          <w:b/>
          <w:bCs/>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b/>
          <w:bCs/>
          <w:i w:val="0"/>
          <w:caps w:val="0"/>
          <w:color w:val="000000" w:themeColor="text1"/>
          <w:spacing w:val="0"/>
          <w:sz w:val="32"/>
          <w:szCs w:val="32"/>
          <w:shd w:val="clear" w:fill="FFFFFF"/>
          <w:lang w:val="en-US" w:eastAsia="zh-CN"/>
          <w14:textFill>
            <w14:solidFill>
              <w14:schemeClr w14:val="tx1"/>
            </w14:solidFill>
          </w14:textFill>
        </w:rPr>
        <w:t>科研助理</w:t>
      </w:r>
      <w:r>
        <w:rPr>
          <w:rFonts w:hint="eastAsia" w:ascii="Times New Roman" w:hAnsi="Times New Roman" w:eastAsia="方正仿宋_GBK" w:cs="Times New Roman"/>
          <w:b/>
          <w:bCs/>
          <w:i w:val="0"/>
          <w:caps w:val="0"/>
          <w:color w:val="000000" w:themeColor="text1"/>
          <w:spacing w:val="0"/>
          <w:sz w:val="32"/>
          <w:szCs w:val="32"/>
          <w:shd w:val="clear" w:fill="FFFFFF"/>
          <w:lang w:val="en-US" w:eastAsia="zh-CN"/>
          <w14:textFill>
            <w14:solidFill>
              <w14:schemeClr w14:val="tx1"/>
            </w14:solidFill>
          </w14:textFill>
        </w:rPr>
        <w:t>历程</w:t>
      </w:r>
      <w:r>
        <w:rPr>
          <w:rFonts w:hint="default" w:ascii="Times New Roman" w:hAnsi="Times New Roman" w:eastAsia="方正仿宋_GBK" w:cs="Times New Roman"/>
          <w:b/>
          <w:bCs/>
          <w:i w:val="0"/>
          <w:caps w:val="0"/>
          <w:color w:val="000000" w:themeColor="text1"/>
          <w:spacing w:val="0"/>
          <w:sz w:val="32"/>
          <w:szCs w:val="32"/>
          <w:shd w:val="clear" w:fill="FFFFFF"/>
          <w:lang w:val="en-US" w:eastAsia="zh-CN"/>
          <w14:textFill>
            <w14:solidFill>
              <w14:schemeClr w14:val="tx1"/>
            </w14:solidFill>
          </w14:textFill>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2009年2月，为应对世界金融危机对宏观经济和就业形势产生的不利影响，科技部、教育部等部门联合印发《关于鼓励科研项目单位吸纳和稳定高校毕业生就业的若干意见》，提出聘用高校毕业生作为研究助理或辅助人员参与研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2020年6月，科技部、教育部等六部门印发《关于鼓励科研项目开发科研助理岗位吸纳高校毕业生就业的通知》，将适用范围从国家科研项目拓展至各级财政资助的科技计划，以及单位自行组织的科研项目等；将“双一流”建设高校设置科研助理岗位及实聘人数作为“双一流”建设监测指标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2022年5月，教育部印发《关于高等学校做好2022年开发科研助理岗位吸纳毕业生就业工作的通知》，要求各单位统筹科研、人事、财务、就业等相关部门，进一步推进开发科研助理岗位吸纳高校毕业生就业工作。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2022年5月，科技部办公厅印发《关于做好国家高新区、自创区稳增长稳市场主体保就业促创业和2022年高校毕业生等青年就业创业工作的通知》，将开发科研助理岗位作为重要任务之一进行部署，将各地方吸纳科研助理岗位情况，作为国务院对地方落实有关重大政策措施2022年度督查激励、省级高新区升级审核的重要参考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t>2022年6月，科技部、教育部等7部门印发《关于做好科研助理岗位开发和落实工作的通知》，将以上要求集大成再次部署，对2022年应届高校毕业生应聘科研助理提出明确时点要求。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方正仿宋_GBK" w:cs="Times New Roman"/>
          <w:i w:val="0"/>
          <w:caps w:val="0"/>
          <w:color w:val="000000" w:themeColor="text1"/>
          <w:spacing w:val="0"/>
          <w:sz w:val="32"/>
          <w:szCs w:val="32"/>
          <w:shd w:val="clear" w:fill="FFFFFF"/>
          <w:lang w:val="en-US" w:eastAsia="zh-CN"/>
          <w14:textFill>
            <w14:solidFill>
              <w14:schemeClr w14:val="tx1"/>
            </w14:solidFill>
          </w14:textFill>
        </w:rPr>
      </w:pPr>
    </w:p>
    <w:sectPr>
      <w:footerReference r:id="rId3" w:type="default"/>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7A4F61"/>
    <w:rsid w:val="1C8551A3"/>
    <w:rsid w:val="1DEC2300"/>
    <w:rsid w:val="4C7A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正文文本首行缩进 21"/>
    <w:basedOn w:val="1"/>
    <w:qFormat/>
    <w:uiPriority w:val="0"/>
    <w:pPr>
      <w:widowControl w:val="0"/>
      <w:adjustRightInd w:val="0"/>
      <w:snapToGrid w:val="0"/>
      <w:spacing w:after="140" w:line="580" w:lineRule="exact"/>
      <w:ind w:firstLine="883" w:firstLineChars="200"/>
      <w:jc w:val="both"/>
    </w:pPr>
    <w:rPr>
      <w:rFonts w:ascii="Times New Roman" w:hAnsi="Times New Roman" w:eastAsia="仿宋_GB2312" w:cs="Times New Roman"/>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云南省科学技术厅</Company>
  <Pages>1</Pages>
  <Words>0</Words>
  <Characters>0</Characters>
  <Lines>0</Lines>
  <Paragraphs>0</Paragraphs>
  <TotalTime>2</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2022-06-29T02:33:00Z</dcterms:created>
  <dc:creator>王冀芳</dc:creator>
  <cp:lastModifiedBy>王冀芳</cp:lastModifiedBy>
  <dcterms:modified xsi:type="dcterms:W3CDTF">2022-06-29T03:31:40Z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