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atLeast"/>
        <w:jc w:val="lef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napToGrid w:val="0"/>
        <w:spacing w:line="580" w:lineRule="atLeas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2024</w:t>
      </w:r>
      <w:r>
        <w:rPr>
          <w:rFonts w:hint="eastAsia" w:ascii="Times New Roman" w:hAnsi="Times New Roman" w:eastAsia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昆明市第十届</w:t>
      </w:r>
      <w:r>
        <w:rPr>
          <w:rFonts w:hint="eastAsia" w:ascii="Times New Roman" w:hAnsi="Times New Roman" w:eastAsia="方正小标宋_GBK"/>
          <w:sz w:val="44"/>
          <w:szCs w:val="44"/>
        </w:rPr>
        <w:t>科普讲解大赛</w:t>
      </w:r>
    </w:p>
    <w:p>
      <w:pPr>
        <w:snapToGrid w:val="0"/>
        <w:spacing w:line="580" w:lineRule="atLeas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实施方案</w:t>
      </w:r>
    </w:p>
    <w:p>
      <w:pPr>
        <w:snapToGrid w:val="0"/>
        <w:spacing w:line="580" w:lineRule="atLeast"/>
        <w:ind w:firstLine="640" w:firstLineChars="200"/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</w:rPr>
      </w:pPr>
    </w:p>
    <w:p>
      <w:pPr>
        <w:snapToGrid w:val="0"/>
        <w:spacing w:line="580" w:lineRule="atLeast"/>
        <w:ind w:firstLine="640" w:firstLineChars="200"/>
        <w:rPr>
          <w:rStyle w:val="6"/>
          <w:rFonts w:ascii="Times New Roman" w:hAnsi="Times New Roman" w:eastAsia="黑体"/>
          <w:b w:val="0"/>
          <w:kern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</w:rPr>
        <w:t>一、大赛主题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弘扬科学家精神 激发全社会创新活力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Style w:val="6"/>
          <w:rFonts w:ascii="Times New Roman" w:hAnsi="Times New Roman" w:eastAsia="方正黑体_GBK"/>
          <w:b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二、组织方式</w:t>
      </w:r>
    </w:p>
    <w:p>
      <w:pPr>
        <w:spacing w:line="560" w:lineRule="exact"/>
        <w:ind w:firstLine="64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由昆明市科技局组织实施，</w:t>
      </w:r>
      <w:r>
        <w:rPr>
          <w:rFonts w:hint="eastAsia" w:ascii="Times New Roman" w:hAnsi="Times New Roman" w:eastAsia="方正仿宋_GBK"/>
          <w:sz w:val="32"/>
          <w:szCs w:val="32"/>
        </w:rPr>
        <w:t>大赛分为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初赛、决赛</w:t>
      </w:r>
      <w:r>
        <w:rPr>
          <w:rFonts w:hint="eastAsia" w:ascii="Times New Roman" w:hAnsi="Times New Roman" w:eastAsia="方正仿宋_GBK"/>
          <w:sz w:val="32"/>
          <w:szCs w:val="32"/>
        </w:rPr>
        <w:t>两个阶段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jc w:val="both"/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三、</w:t>
      </w: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决赛竞赛</w:t>
      </w: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内容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赛选手根据“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弘扬科学家精神 激发全社会创新活力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主题，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自由选择题目讲解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snapToGrid w:val="0"/>
        <w:spacing w:line="580" w:lineRule="atLeas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（一）初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赛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初赛由自主命题讲解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和随机命题讲解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2个</w:t>
      </w:r>
      <w:r>
        <w:rPr>
          <w:rFonts w:hint="eastAsia" w:ascii="Times New Roman" w:hAnsi="Times New Roman" w:eastAsia="方正仿宋_GBK"/>
          <w:sz w:val="32"/>
          <w:szCs w:val="32"/>
        </w:rPr>
        <w:t>环节组成。初赛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选手出场时，先播放20秒自我介绍视频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该环节不作为比赛评分内</w:t>
      </w:r>
      <w:r>
        <w:rPr>
          <w:rFonts w:hint="eastAsia" w:ascii="Times New Roman" w:hAnsi="Times New Roman" w:eastAsia="方正仿宋_GBK"/>
          <w:sz w:val="32"/>
          <w:szCs w:val="32"/>
        </w:rPr>
        <w:t>容，视频由选手准备。</w:t>
      </w:r>
    </w:p>
    <w:p>
      <w:pPr>
        <w:snapToGrid w:val="0"/>
        <w:spacing w:line="580" w:lineRule="atLeast"/>
        <w:ind w:left="64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（二）决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赛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决赛由自主命题讲解、科技常识测试和评委问答</w:t>
      </w:r>
      <w:r>
        <w:rPr>
          <w:rFonts w:hint="default" w:ascii="Times New Roman" w:hAnsi="Times New Roman" w:eastAsia="方正仿宋_GBK"/>
          <w:sz w:val="32"/>
          <w:szCs w:val="32"/>
          <w:lang w:val="en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个环节组成。决赛选手出场时，先播放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秒自我介绍视频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该环节不作为比赛评分内容，视频由选手准备，可与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</w:t>
      </w:r>
      <w:r>
        <w:rPr>
          <w:rFonts w:hint="eastAsia" w:ascii="Times New Roman" w:hAnsi="Times New Roman" w:eastAsia="方正仿宋_GBK"/>
          <w:sz w:val="32"/>
          <w:szCs w:val="32"/>
        </w:rPr>
        <w:t>视频相同。</w:t>
      </w:r>
    </w:p>
    <w:p>
      <w:pPr>
        <w:numPr>
          <w:ilvl w:val="0"/>
          <w:numId w:val="0"/>
        </w:numPr>
        <w:snapToGrid w:val="0"/>
        <w:spacing w:line="580" w:lineRule="atLeas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（三）具体内容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</w:rPr>
        <w:t>自主命题讲解主题内容以《中国公民科学素质基准》中的自然科学和社会科学知识为主，选手可通过表述设定场景和对象。时间为</w:t>
      </w:r>
      <w:r>
        <w:rPr>
          <w:rFonts w:ascii="Times New Roman" w:hAnsi="Times New Roman" w:eastAsia="方正仿宋_GBK"/>
          <w:sz w:val="32"/>
          <w:szCs w:val="32"/>
        </w:rPr>
        <w:t>4</w:t>
      </w:r>
      <w:r>
        <w:rPr>
          <w:rFonts w:hint="eastAsia" w:ascii="Times New Roman" w:hAnsi="Times New Roman" w:eastAsia="方正仿宋_GBK"/>
          <w:sz w:val="32"/>
          <w:szCs w:val="32"/>
        </w:rPr>
        <w:t>分钟，由选手自行确定</w:t>
      </w:r>
      <w:r>
        <w:rPr>
          <w:rFonts w:hint="default" w:ascii="Times New Roman" w:hAnsi="Times New Roman" w:eastAsia="方正仿宋_GBK"/>
          <w:sz w:val="32"/>
          <w:szCs w:val="32"/>
          <w:lang w:val="en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个科普内容命题进行讲解，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初赛、决赛</w:t>
      </w:r>
      <w:r>
        <w:rPr>
          <w:rFonts w:hint="eastAsia" w:ascii="Times New Roman" w:hAnsi="Times New Roman" w:eastAsia="方正仿宋_GBK"/>
          <w:sz w:val="32"/>
          <w:szCs w:val="32"/>
        </w:rPr>
        <w:t>可以使用同一题目。讲解时，选手必须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采用</w:t>
      </w:r>
      <w:r>
        <w:rPr>
          <w:rFonts w:hint="eastAsia" w:ascii="Times New Roman" w:hAnsi="Times New Roman" w:eastAsia="方正仿宋_GBK"/>
          <w:sz w:val="32"/>
          <w:szCs w:val="32"/>
        </w:rPr>
        <w:t>多媒体等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有表现力的方式</w:t>
      </w:r>
      <w:r>
        <w:rPr>
          <w:rFonts w:hint="eastAsia" w:ascii="Times New Roman" w:hAnsi="Times New Roman" w:eastAsia="方正仿宋_GBK"/>
          <w:sz w:val="32"/>
          <w:szCs w:val="32"/>
        </w:rPr>
        <w:t>进行讲解，丰富舞台效果。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随机命题讲解时间为2分钟，该环节主要考察选手的随机反应能力和发散思维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能力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共有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20道题目及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对应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图片。具体内容由选手现场随机抽取确定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，在进行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看图讲解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，讲解内容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与图片内容密切相关。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20道题目在大赛会务QQ群公布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</w:p>
    <w:p>
      <w:pPr>
        <w:snapToGrid w:val="0"/>
        <w:spacing w:line="5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科技常识测试每题限时</w:t>
      </w:r>
      <w:r>
        <w:rPr>
          <w:rFonts w:ascii="Times New Roman" w:hAnsi="Times New Roman" w:eastAsia="方正仿宋_GBK"/>
          <w:sz w:val="32"/>
          <w:szCs w:val="32"/>
        </w:rPr>
        <w:t>10</w:t>
      </w:r>
      <w:r>
        <w:rPr>
          <w:rFonts w:hint="eastAsia" w:ascii="Times New Roman" w:hAnsi="Times New Roman" w:eastAsia="方正仿宋_GBK"/>
          <w:sz w:val="32"/>
          <w:szCs w:val="32"/>
        </w:rPr>
        <w:t>秒，主要考察选手的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科学素质</w:t>
      </w:r>
      <w:r>
        <w:rPr>
          <w:rFonts w:hint="eastAsia" w:ascii="Times New Roman" w:hAnsi="Times New Roman" w:eastAsia="方正仿宋_GBK"/>
          <w:sz w:val="32"/>
          <w:szCs w:val="32"/>
        </w:rPr>
        <w:t>与知识水平，比赛时由选手随机从题库（《中国公民科学素质基准》）中抽取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道题目进行测试。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/>
          <w:sz w:val="32"/>
          <w:szCs w:val="32"/>
        </w:rPr>
        <w:t>评委问答环节时间为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分钟，就选手的自主命题讲解内容或科学素质进行提问。该环节主要考核选手的随机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应变</w:t>
      </w:r>
      <w:r>
        <w:rPr>
          <w:rFonts w:hint="eastAsia" w:ascii="Times New Roman" w:hAnsi="Times New Roman" w:eastAsia="方正仿宋_GBK"/>
          <w:sz w:val="32"/>
          <w:szCs w:val="32"/>
        </w:rPr>
        <w:t>能力，对自主命题掌握的深度和广度，以及对《中国公民科学素质基准》的掌握情况。</w:t>
      </w:r>
    </w:p>
    <w:p>
      <w:pPr>
        <w:snapToGrid w:val="0"/>
        <w:spacing w:line="580" w:lineRule="atLeast"/>
        <w:ind w:firstLine="640" w:firstLineChars="200"/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  <w:lang w:val="en-US" w:eastAsia="zh-CN" w:bidi="ar-SA"/>
        </w:rPr>
        <w:t>四、日程安排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（一）赛前培训：</w:t>
      </w:r>
      <w:r>
        <w:rPr>
          <w:rFonts w:hint="eastAsia" w:ascii="Times New Roman" w:hAnsi="Times New Roman" w:eastAsia="方正仿宋_GBK"/>
          <w:sz w:val="32"/>
          <w:szCs w:val="32"/>
        </w:rPr>
        <w:t>时间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、地点通过会务联系群另行通知，</w:t>
      </w:r>
      <w:r>
        <w:rPr>
          <w:rFonts w:hint="eastAsia" w:ascii="Times New Roman" w:hAnsi="Times New Roman" w:eastAsia="方正仿宋_GBK"/>
          <w:sz w:val="32"/>
          <w:szCs w:val="32"/>
        </w:rPr>
        <w:t>明确参赛规则、评分标准、比赛办法以及具体安排等。选手自行抽签决定比赛顺序。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抽签分两轮进行，第一轮先抽取抽签顺序号，第二轮将按抽签顺序号抽取比赛顺序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/>
          <w:b w:val="0"/>
          <w:bCs w:val="0"/>
          <w:sz w:val="32"/>
          <w:szCs w:val="32"/>
          <w:lang w:eastAsia="zh-CN"/>
        </w:rPr>
        <w:t>赛前培训</w:t>
      </w:r>
      <w:r>
        <w:rPr>
          <w:rFonts w:hint="eastAsia" w:ascii="Times New Roman" w:hAnsi="Times New Roman" w:eastAsia="方正仿宋_GBK"/>
          <w:sz w:val="32"/>
          <w:szCs w:val="32"/>
        </w:rPr>
        <w:t>供选手适应场地，拷贝参赛视频及自我介绍视频，试用设备等。</w:t>
      </w:r>
    </w:p>
    <w:p>
      <w:pPr>
        <w:numPr>
          <w:ilvl w:val="0"/>
          <w:numId w:val="0"/>
        </w:numPr>
        <w:snapToGrid w:val="0"/>
        <w:spacing w:line="580" w:lineRule="atLeas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（三）初赛：</w:t>
      </w:r>
      <w:r>
        <w:rPr>
          <w:rFonts w:hint="eastAsia" w:ascii="Times New Roman" w:hAnsi="Times New Roman" w:eastAsia="方正仿宋_GBK"/>
          <w:sz w:val="32"/>
          <w:szCs w:val="32"/>
        </w:rPr>
        <w:t>时间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、地点通过会务联系群另行通知，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选手按抽签结果依次参加初赛，按得分高低排序产生20名选手晋级决赛。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（四）决赛选手抽签：</w:t>
      </w:r>
      <w:r>
        <w:rPr>
          <w:rFonts w:hint="eastAsia" w:ascii="Times New Roman" w:hAnsi="Times New Roman" w:eastAsia="方正仿宋_GBK"/>
          <w:b/>
          <w:bCs/>
          <w:sz w:val="32"/>
          <w:szCs w:val="32"/>
          <w:lang w:eastAsia="zh-CN"/>
        </w:rPr>
        <w:t>初赛结束后开始</w:t>
      </w:r>
      <w:r>
        <w:rPr>
          <w:rFonts w:hint="eastAsia" w:ascii="Times New Roman" w:hAnsi="Times New Roman" w:eastAsia="方正仿宋_GBK"/>
          <w:sz w:val="32"/>
          <w:szCs w:val="32"/>
        </w:rPr>
        <w:t>选手抽签决定比赛顺序。抽签分两轮进行，第一轮先抽取抽签顺序号，第二轮将按抽签顺序号抽取比赛顺序。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（五）决赛：</w:t>
      </w:r>
      <w:r>
        <w:rPr>
          <w:rFonts w:hint="eastAsia" w:ascii="Times New Roman" w:hAnsi="Times New Roman" w:eastAsia="方正仿宋_GBK"/>
          <w:sz w:val="32"/>
          <w:szCs w:val="32"/>
        </w:rPr>
        <w:t>时间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、地点通过会务联系群另行通知，晋级决赛的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名选手按抽签结果进行比赛。所有选手比赛结束后，评委进行整体点评。现场宣布大赛获奖名单，颁发各奖项。</w:t>
      </w:r>
    </w:p>
    <w:p>
      <w:pPr>
        <w:snapToGrid w:val="0"/>
        <w:spacing w:line="580" w:lineRule="atLeast"/>
        <w:ind w:firstLine="640" w:firstLineChars="200"/>
        <w:rPr>
          <w:rStyle w:val="6"/>
          <w:rFonts w:ascii="Times New Roman" w:hAnsi="Times New Roman" w:eastAsia="方正黑体_GBK"/>
          <w:b w:val="0"/>
          <w:kern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  <w:lang w:eastAsia="zh-CN"/>
        </w:rPr>
        <w:t>五</w:t>
      </w:r>
      <w:r>
        <w:rPr>
          <w:rStyle w:val="6"/>
          <w:rFonts w:hint="eastAsia" w:ascii="Times New Roman" w:hAnsi="Times New Roman" w:eastAsia="方正黑体_GBK"/>
          <w:b w:val="0"/>
          <w:kern w:val="0"/>
          <w:sz w:val="32"/>
          <w:szCs w:val="32"/>
        </w:rPr>
        <w:t>、比赛规则及评分标准</w:t>
      </w:r>
    </w:p>
    <w:p>
      <w:pPr>
        <w:snapToGrid w:val="0"/>
        <w:spacing w:line="580" w:lineRule="atLeas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赛制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</w:t>
      </w:r>
      <w:r>
        <w:rPr>
          <w:rFonts w:hint="eastAsia" w:ascii="Times New Roman" w:hAnsi="Times New Roman" w:eastAsia="方正仿宋_GBK"/>
          <w:sz w:val="32"/>
          <w:szCs w:val="32"/>
        </w:rPr>
        <w:t>选手配带号码牌上场，依次进行自主命题讲解、随机命题讲解。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初赛决出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名选手参加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决赛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参加决赛的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名选手佩带号码牌上场比赛，依次进行自主命题讲解、科技常识测试和评委问答。</w:t>
      </w:r>
    </w:p>
    <w:p>
      <w:pPr>
        <w:snapToGrid w:val="0"/>
        <w:spacing w:line="580" w:lineRule="atLeas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（二）评分标准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总分</w:t>
      </w:r>
      <w:r>
        <w:rPr>
          <w:rFonts w:ascii="Times New Roman" w:hAnsi="Times New Roman" w:eastAsia="方正仿宋_GBK"/>
          <w:sz w:val="32"/>
          <w:szCs w:val="32"/>
        </w:rPr>
        <w:t>100</w:t>
      </w:r>
      <w:r>
        <w:rPr>
          <w:rFonts w:hint="eastAsia" w:ascii="Times New Roman" w:hAnsi="Times New Roman" w:eastAsia="方正仿宋_GBK"/>
          <w:sz w:val="32"/>
          <w:szCs w:val="32"/>
        </w:rPr>
        <w:t>分，评分保留到小数点后两位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超时由记分员进行扣分记录。</w:t>
      </w:r>
      <w:r>
        <w:rPr>
          <w:rFonts w:ascii="Times New Roman" w:hAnsi="Times New Roman" w:eastAsia="方正仿宋_GBK"/>
          <w:sz w:val="32"/>
          <w:szCs w:val="32"/>
        </w:rPr>
        <w:t>7</w:t>
      </w:r>
      <w:r>
        <w:rPr>
          <w:rFonts w:hint="eastAsia" w:ascii="Times New Roman" w:hAnsi="Times New Roman" w:eastAsia="方正仿宋_GBK"/>
          <w:sz w:val="32"/>
          <w:szCs w:val="32"/>
        </w:rPr>
        <w:t>名专家评委打分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采用现场打分、亮分和公布成绩的方式，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得到评委打分。</w:t>
      </w:r>
      <w:r>
        <w:rPr>
          <w:rFonts w:hint="eastAsia" w:ascii="Times New Roman" w:hAnsi="Times New Roman" w:eastAsia="方正仿宋_GBK"/>
          <w:sz w:val="32"/>
          <w:szCs w:val="32"/>
        </w:rPr>
        <w:t>去掉最高分和最低分后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计算评委打分的</w:t>
      </w:r>
      <w:r>
        <w:rPr>
          <w:rFonts w:hint="eastAsia" w:ascii="Times New Roman" w:hAnsi="Times New Roman" w:eastAsia="方正仿宋_GBK"/>
          <w:sz w:val="32"/>
          <w:szCs w:val="32"/>
        </w:rPr>
        <w:t>平均数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，与超时、少时扣分相加，得到选手总分数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若遇选手总分数相同则按评委的第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个最高分高低决定名次，若评委的第</w:t>
      </w: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</w:rPr>
        <w:t>个最高分相同则按第</w:t>
      </w:r>
      <w:r>
        <w:rPr>
          <w:rFonts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</w:rPr>
        <w:t>个最高分高低决定名次，以此类推；若遇评委具体打分均相同，则在监督组的监督下抽签决定名次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snapToGrid w:val="0"/>
        <w:spacing w:line="58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初赛评分标准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631"/>
        <w:gridCol w:w="4394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题型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总体标准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自主命题讲解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  <w:t>70分</w:t>
            </w:r>
          </w:p>
        </w:tc>
        <w:tc>
          <w:tcPr>
            <w:tcW w:w="4394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评委分别从内容陈述、表达效果、整体形象三方面进行评分。内容必须包含自然科学和技术知识，否则不得分。限时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分钟，不足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分，超时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秒（含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讲解中止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分。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339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内容陈述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30分）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科学准确、重点突出；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主次分明、详简得当；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层次清楚、合乎逻辑。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631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4394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339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表达效果（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分）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通俗易懂、深入浅出；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张弛有度、侧重讲解；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发音标准、吐字清晰；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590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631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4394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339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整体形象（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分）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衣着得体、精神饱满；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举止大方、自然协调。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随机命题讲解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  <w:tc>
          <w:tcPr>
            <w:tcW w:w="4394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现场有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个图片供选手选择，选手选取图片后，根据图片内容进行讲解。选手可在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秒准备时间后开始计时讲解。内容必须与图片密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切相关，并包含自然科学和技术知识，否则不得分。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限时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分钟，不足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分，超时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秒（含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讲解中止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分。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主题立论一致，合乎逻辑；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内容重点突出，寓意深刻；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密切联系生活，特色鲜明；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讲解思路清晰，语言流畅。</w:t>
            </w:r>
          </w:p>
        </w:tc>
      </w:tr>
    </w:tbl>
    <w:p>
      <w:pPr>
        <w:snapToGrid w:val="0"/>
        <w:spacing w:line="58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snapToGrid w:val="0"/>
        <w:spacing w:line="580" w:lineRule="atLeas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决赛评分标准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81"/>
        <w:gridCol w:w="3207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题型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  <w:tc>
          <w:tcPr>
            <w:tcW w:w="3207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总体标准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自主命题讲解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和评委问答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default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  <w:lang w:val="en-US" w:eastAsia="zh-CN"/>
              </w:rPr>
              <w:t>100分</w:t>
            </w:r>
          </w:p>
        </w:tc>
        <w:tc>
          <w:tcPr>
            <w:tcW w:w="3207" w:type="dxa"/>
            <w:vMerge w:val="restart"/>
            <w:noWrap w:val="0"/>
            <w:vAlign w:val="center"/>
          </w:tcPr>
          <w:p>
            <w:pPr>
              <w:snapToGrid w:val="0"/>
              <w:spacing w:line="580" w:lineRule="atLeas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评委分别从内容陈述、表达效果、整体形象三方面进行评分。内容必须包含自然科学和技术知识，否则不得分。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自主命题讲解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限时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分钟，不足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分，超时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秒（含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秒）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讲解中止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分。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评委问答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限时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分钟，超时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秒（含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秒）回答中止，不扣分。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内容陈述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50分）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科学准确、重点突出；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主次分明、详简得当；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层次清楚、合乎逻辑。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3207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表达效果（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分）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通俗易懂、深入浅出；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张弛有度、侧重讲解；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发音标准、吐字清晰；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  <w:vertAlign w:val="baseline"/>
              </w:rPr>
            </w:pPr>
          </w:p>
        </w:tc>
        <w:tc>
          <w:tcPr>
            <w:tcW w:w="3207" w:type="dxa"/>
            <w:vMerge w:val="continue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510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整体形象（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分）</w:t>
            </w:r>
          </w:p>
          <w:p>
            <w:pPr>
              <w:snapToGrid w:val="0"/>
              <w:spacing w:line="580" w:lineRule="atLeas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衣着得体、精神饱满；</w:t>
            </w:r>
          </w:p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举止大方、自然协调。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6" w:type="dxa"/>
            <w:noWrap w:val="0"/>
            <w:vAlign w:val="center"/>
          </w:tcPr>
          <w:p>
            <w:pPr>
              <w:snapToGrid w:val="0"/>
              <w:spacing w:line="580" w:lineRule="atLeas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科技常识测试</w:t>
            </w:r>
          </w:p>
        </w:tc>
        <w:tc>
          <w:tcPr>
            <w:tcW w:w="7598" w:type="dxa"/>
            <w:gridSpan w:val="3"/>
            <w:noWrap w:val="0"/>
            <w:vAlign w:val="center"/>
          </w:tcPr>
          <w:p>
            <w:pPr>
              <w:snapToGrid w:val="0"/>
              <w:spacing w:line="580" w:lineRule="atLeas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选手每人随机选取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道科技常识问题（从《中国公民科学素质基准》中选取）进行测试，由记分员在监督组的监督下根据答题情况记录选手扣分情况。回答正确不扣分，不回答或回答错误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题扣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题扣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分。每题限时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秒，选手须在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秒内作答，超时回答中止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eastAsia="zh-CN"/>
              </w:rPr>
              <w:t>并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扣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分。</w:t>
            </w:r>
          </w:p>
        </w:tc>
      </w:tr>
    </w:tbl>
    <w:p>
      <w:pPr>
        <w:snapToGrid w:val="0"/>
        <w:spacing w:line="580" w:lineRule="atLeas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（三）决赛监督</w:t>
      </w:r>
    </w:p>
    <w:p>
      <w:pPr>
        <w:snapToGrid w:val="0"/>
        <w:spacing w:line="5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监督组全程监督比赛过程，并对比赛过程中出现的问题及投诉情况进行调查处理。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Style w:val="6"/>
          <w:rFonts w:ascii="Times New Roman" w:hAnsi="Times New Roman" w:eastAsia="方正黑体_GBK"/>
          <w:b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六</w:t>
      </w: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、奖项设置</w:t>
      </w:r>
      <w:r>
        <w:rPr>
          <w:rStyle w:val="6"/>
          <w:rFonts w:ascii="Times New Roman" w:hAnsi="Times New Roman" w:eastAsia="方正黑体_GBK"/>
          <w:b w:val="0"/>
          <w:sz w:val="32"/>
          <w:szCs w:val="32"/>
        </w:rPr>
        <w:t xml:space="preserve"> </w:t>
      </w:r>
    </w:p>
    <w:p>
      <w:pPr>
        <w:snapToGrid w:val="0"/>
        <w:spacing w:line="5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参加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昆明市第十届</w:t>
      </w:r>
      <w:r>
        <w:rPr>
          <w:rFonts w:hint="eastAsia" w:ascii="Times New Roman" w:hAnsi="Times New Roman" w:eastAsia="方正仿宋_GBK"/>
          <w:sz w:val="32"/>
          <w:szCs w:val="32"/>
        </w:rPr>
        <w:t>科普讲解大赛决赛的选手及组织单位可获得各类奖项，奖励形式如下：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napToGrid w:val="0"/>
        <w:spacing w:line="580" w:lineRule="atLeas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（一）名次奖</w:t>
      </w:r>
      <w:r>
        <w:rPr>
          <w:rFonts w:ascii="方正楷体_GBK" w:hAnsi="方正楷体_GBK" w:eastAsia="方正楷体_GBK" w:cs="方正楷体_GBK"/>
          <w:sz w:val="32"/>
          <w:szCs w:val="32"/>
        </w:rPr>
        <w:t xml:space="preserve"> </w:t>
      </w:r>
    </w:p>
    <w:p>
      <w:pPr>
        <w:widowControl/>
        <w:snapToGrid w:val="0"/>
        <w:spacing w:line="580" w:lineRule="atLeast"/>
        <w:ind w:firstLine="645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个人奖：设一等奖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名，二等奖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名，三等奖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7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，并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授予“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昆明市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十佳科普使者”称号，颁发获奖证书。将推荐一等奖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二等奖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共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名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选手代表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我省参加全国科普讲解大赛。设优秀奖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10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名，颁发获奖证书。</w:t>
      </w:r>
    </w:p>
    <w:p>
      <w:pPr>
        <w:widowControl/>
        <w:snapToGrid w:val="0"/>
        <w:spacing w:line="580" w:lineRule="atLeast"/>
        <w:ind w:firstLine="645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（二）专项奖</w:t>
      </w:r>
    </w:p>
    <w:p>
      <w:pPr>
        <w:snapToGrid w:val="0"/>
        <w:spacing w:line="580" w:lineRule="atLeas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参加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决赛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的选手可参与最佳形象奖、最佳口才奖和最具人气奖评选，各取</w:t>
      </w: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名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决赛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现场各代表队及评委选出，票数多者当选。</w:t>
      </w:r>
    </w:p>
    <w:p>
      <w:pPr>
        <w:widowControl/>
        <w:snapToGrid w:val="0"/>
        <w:spacing w:line="580" w:lineRule="atLeast"/>
        <w:ind w:firstLine="645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（三）集体奖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设优秀组织奖</w:t>
      </w:r>
      <w:r>
        <w:rPr>
          <w:rFonts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名，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颁发获奖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奖牌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pStyle w:val="2"/>
        <w:widowControl/>
        <w:numPr>
          <w:ilvl w:val="0"/>
          <w:numId w:val="1"/>
        </w:numPr>
        <w:snapToGrid w:val="0"/>
        <w:spacing w:beforeAutospacing="0" w:afterAutospacing="0" w:line="580" w:lineRule="atLeast"/>
        <w:ind w:firstLine="640" w:firstLineChars="200"/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决赛名额分配</w:t>
      </w:r>
    </w:p>
    <w:p>
      <w:pPr>
        <w:pStyle w:val="2"/>
        <w:widowControl/>
        <w:numPr>
          <w:ilvl w:val="0"/>
          <w:numId w:val="0"/>
        </w:numPr>
        <w:snapToGrid w:val="0"/>
        <w:spacing w:beforeAutospacing="0" w:afterAutospacing="0" w:line="580" w:lineRule="atLeast"/>
        <w:ind w:firstLine="640" w:firstLineChars="200"/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初赛决出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名选手参加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决赛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Style w:val="6"/>
          <w:rFonts w:ascii="Times New Roman" w:hAnsi="Times New Roman" w:eastAsia="方正黑体_GBK"/>
          <w:b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八</w:t>
      </w: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、媒体宣传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邀请省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主要媒体对活动进行报道。将对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比赛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进行网络直播。</w:t>
      </w:r>
    </w:p>
    <w:p>
      <w:pPr>
        <w:pStyle w:val="2"/>
        <w:widowControl/>
        <w:snapToGrid w:val="0"/>
        <w:spacing w:beforeAutospacing="0" w:afterAutospacing="0" w:line="580" w:lineRule="atLeast"/>
        <w:ind w:firstLine="640" w:firstLineChars="200"/>
        <w:rPr>
          <w:rStyle w:val="6"/>
          <w:rFonts w:ascii="Times New Roman" w:hAnsi="Times New Roman" w:eastAsia="方正黑体_GBK"/>
          <w:b w:val="0"/>
          <w:sz w:val="32"/>
          <w:szCs w:val="32"/>
        </w:rPr>
      </w:pP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九</w:t>
      </w:r>
      <w:r>
        <w:rPr>
          <w:rStyle w:val="6"/>
          <w:rFonts w:hint="eastAsia" w:ascii="Times New Roman" w:hAnsi="Times New Roman" w:eastAsia="方正黑体_GBK"/>
          <w:b w:val="0"/>
          <w:sz w:val="32"/>
          <w:szCs w:val="32"/>
        </w:rPr>
        <w:t>、其他要求</w:t>
      </w:r>
    </w:p>
    <w:p>
      <w:pPr>
        <w:snapToGrid w:val="0"/>
        <w:spacing w:line="580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（一）报名时间及要求。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各选手填写《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昆明市第十届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科普讲解大赛选手参赛报名表》，报名并在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2024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日前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完成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（二）讲解要求。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选手讲解时可说明情景设置情况，明确讲解对象。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-SA"/>
        </w:rPr>
        <w:t>自我介绍视频、讲解视频统一用MP4编码格式，画面比例16:9，全高清1920*1080，自我介绍视频文件不大于100M，讲解视频文件不大于1000M。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视频全程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自动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播放，不得由别人协助。</w:t>
      </w:r>
    </w:p>
    <w:p>
      <w:pPr>
        <w:pStyle w:val="2"/>
        <w:widowControl/>
        <w:shd w:val="clear" w:color="auto" w:fill="FFFFFF"/>
        <w:snapToGrid w:val="0"/>
        <w:spacing w:beforeAutospacing="0" w:afterAutospacing="0" w:line="580" w:lineRule="atLeast"/>
        <w:ind w:firstLine="640" w:firstLineChars="200"/>
        <w:jc w:val="both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（三）经费。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各参加决赛选手的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往返</w:t>
      </w:r>
      <w:r>
        <w:rPr>
          <w:rFonts w:ascii="Times New Roman" w:hAnsi="Times New Roman" w:eastAsia="方正仿宋_GBK"/>
          <w:color w:val="000000"/>
          <w:sz w:val="32"/>
          <w:szCs w:val="32"/>
        </w:rPr>
        <w:t>差旅、食宿费自理，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无</w:t>
      </w:r>
      <w:r>
        <w:rPr>
          <w:rFonts w:ascii="Times New Roman" w:hAnsi="Times New Roman" w:eastAsia="方正仿宋_GBK"/>
          <w:color w:val="000000"/>
          <w:sz w:val="32"/>
          <w:szCs w:val="32"/>
        </w:rPr>
        <w:t>需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缴</w:t>
      </w:r>
      <w:r>
        <w:rPr>
          <w:rFonts w:ascii="Times New Roman" w:hAnsi="Times New Roman" w:eastAsia="方正仿宋_GBK"/>
          <w:color w:val="000000"/>
          <w:sz w:val="32"/>
          <w:szCs w:val="32"/>
        </w:rPr>
        <w:t>纳参赛费用。决赛阶段专家聘请、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参赛</w:t>
      </w:r>
      <w:r>
        <w:rPr>
          <w:rFonts w:ascii="Times New Roman" w:hAnsi="Times New Roman" w:eastAsia="方正仿宋_GBK"/>
          <w:color w:val="000000"/>
          <w:sz w:val="32"/>
          <w:szCs w:val="32"/>
        </w:rPr>
        <w:t>场地租赁、设备配置、服务及人员保障等由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主办单位和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承办单位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共同</w:t>
      </w:r>
      <w:r>
        <w:rPr>
          <w:rFonts w:ascii="Times New Roman" w:hAnsi="Times New Roman" w:eastAsia="方正仿宋_GBK"/>
          <w:color w:val="000000"/>
          <w:sz w:val="32"/>
          <w:szCs w:val="32"/>
        </w:rPr>
        <w:t>承担。</w:t>
      </w:r>
    </w:p>
    <w:p>
      <w:pPr>
        <w:pStyle w:val="2"/>
        <w:widowControl/>
        <w:shd w:val="clear" w:color="auto" w:fill="FFFFFF"/>
        <w:snapToGrid w:val="0"/>
        <w:spacing w:beforeAutospacing="0" w:afterAutospacing="0" w:line="580" w:lineRule="atLeas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（四）会务联系。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为方便领队、选手与主办方沟通交流，请自行添加进入大赛会务</w:t>
      </w:r>
      <w:r>
        <w:rPr>
          <w:rFonts w:ascii="Times New Roman" w:hAnsi="Times New Roman" w:eastAsia="方正仿宋_GBK"/>
          <w:color w:val="000000"/>
          <w:sz w:val="32"/>
          <w:szCs w:val="32"/>
        </w:rPr>
        <w:t>QQ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925776044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widowControl/>
        <w:snapToGrid w:val="0"/>
        <w:spacing w:line="580" w:lineRule="atLeast"/>
        <w:ind w:firstLine="640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snapToGrid w:val="0"/>
        <w:spacing w:line="580" w:lineRule="atLeast"/>
        <w:ind w:firstLine="640" w:firstLineChars="200"/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本实施方案由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昆明市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科学技术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负责解释。</w:t>
      </w:r>
    </w:p>
    <w:p/>
    <w:p/>
    <w:p>
      <w:pPr>
        <w:snapToGrid w:val="0"/>
        <w:spacing w:line="580" w:lineRule="atLeast"/>
        <w:rPr>
          <w:rFonts w:hint="eastAsia" w:ascii="Times New Roman" w:hAnsi="Times New Roman" w:eastAsia="方正仿宋_GBK"/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5F0A9"/>
    <w:multiLevelType w:val="singleLevel"/>
    <w:tmpl w:val="FF75F0A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5311F"/>
    <w:rsid w:val="35F91BA4"/>
    <w:rsid w:val="3DB86B23"/>
    <w:rsid w:val="42E5311F"/>
    <w:rsid w:val="6FFDC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eastAsia="宋体" w:cs="Times New Roman"/>
      <w:kern w:val="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8</Pages>
  <Words>3113</Words>
  <Characters>3200</Characters>
  <Lines>0</Lines>
  <Paragraphs>0</Paragraphs>
  <TotalTime>9</TotalTime>
  <ScaleCrop>false</ScaleCrop>
  <LinksUpToDate>false</LinksUpToDate>
  <CharactersWithSpaces>3206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2023-08-12T01:15:00Z</dcterms:created>
  <dc:creator>hhw</dc:creator>
  <cp:lastModifiedBy>房欣童</cp:lastModifiedBy>
  <cp:lastPrinted>2024-06-25T14:12:53Z</cp:lastPrinted>
  <dcterms:modified xsi:type="dcterms:W3CDTF">2024-06-25T14:21:41Z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EC100B33E53644C49B38E945BF94683C_13</vt:lpwstr>
  </property>
</Properties>
</file>